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3014" w:rsidRPr="000E3014" w:rsidRDefault="000E3014" w:rsidP="000E3014">
      <w:pPr>
        <w:shd w:val="clear" w:color="auto" w:fill="FFFFFF"/>
        <w:spacing w:after="120" w:line="240" w:lineRule="auto"/>
        <w:outlineLvl w:val="1"/>
        <w:rPr>
          <w:rFonts w:ascii="Bookman Old Style" w:eastAsia="Times New Roman" w:hAnsi="Bookman Old Style" w:cs="Times New Roman"/>
          <w:b/>
          <w:bCs/>
          <w:color w:val="0C628F"/>
          <w:sz w:val="32"/>
          <w:szCs w:val="24"/>
        </w:rPr>
      </w:pPr>
      <w:r w:rsidRPr="000E3014">
        <w:rPr>
          <w:rFonts w:ascii="Bookman Old Style" w:eastAsia="Times New Roman" w:hAnsi="Bookman Old Style" w:cs="Times New Roman"/>
          <w:b/>
          <w:bCs/>
          <w:color w:val="0C628F"/>
          <w:sz w:val="32"/>
          <w:szCs w:val="24"/>
        </w:rPr>
        <w:t>ABC Audie</w:t>
      </w:r>
      <w:bookmarkStart w:id="0" w:name="_GoBack"/>
      <w:bookmarkEnd w:id="0"/>
      <w:r w:rsidRPr="000E3014">
        <w:rPr>
          <w:rFonts w:ascii="Bookman Old Style" w:eastAsia="Times New Roman" w:hAnsi="Bookman Old Style" w:cs="Times New Roman"/>
          <w:b/>
          <w:bCs/>
          <w:color w:val="0C628F"/>
          <w:sz w:val="32"/>
          <w:szCs w:val="24"/>
        </w:rPr>
        <w:t xml:space="preserve">nce Research Toolkit for Community Radio: </w:t>
      </w:r>
    </w:p>
    <w:p w:rsidR="000E3014" w:rsidRPr="000E3014" w:rsidRDefault="000E3014" w:rsidP="000E3014">
      <w:pPr>
        <w:shd w:val="clear" w:color="auto" w:fill="FFFFFF"/>
        <w:spacing w:after="120" w:line="240" w:lineRule="auto"/>
        <w:outlineLvl w:val="1"/>
        <w:rPr>
          <w:rFonts w:ascii="Bookman Old Style" w:eastAsia="Times New Roman" w:hAnsi="Bookman Old Style" w:cs="Times New Roman"/>
          <w:b/>
          <w:bCs/>
          <w:color w:val="0C628F"/>
          <w:sz w:val="24"/>
          <w:szCs w:val="24"/>
        </w:rPr>
      </w:pPr>
      <w:r w:rsidRPr="000E3014">
        <w:rPr>
          <w:rFonts w:ascii="Bookman Old Style" w:eastAsia="Times New Roman" w:hAnsi="Bookman Old Style" w:cs="Times New Roman"/>
          <w:b/>
          <w:bCs/>
          <w:color w:val="0C628F"/>
          <w:sz w:val="24"/>
          <w:szCs w:val="24"/>
        </w:rPr>
        <w:t>A Practical Guide for Journalists, Radio Hosts, Producers, Station Managers, Directors, and CEOs </w:t>
      </w:r>
    </w:p>
    <w:p w:rsidR="000E3014" w:rsidRDefault="000E3014" w:rsidP="000E3014">
      <w:pPr>
        <w:shd w:val="clear" w:color="auto" w:fill="FFFFFF"/>
        <w:spacing w:after="0" w:line="240" w:lineRule="auto"/>
        <w:rPr>
          <w:rFonts w:ascii="Bookman Old Style" w:eastAsia="Times New Roman" w:hAnsi="Bookman Old Style" w:cs="Times New Roman"/>
          <w:color w:val="0C628F"/>
          <w:sz w:val="24"/>
          <w:szCs w:val="24"/>
        </w:rPr>
      </w:pPr>
    </w:p>
    <w:p w:rsidR="000E3014" w:rsidRDefault="000E3014" w:rsidP="000E3014">
      <w:pPr>
        <w:shd w:val="clear" w:color="auto" w:fill="FFFFFF"/>
        <w:spacing w:after="0" w:line="240" w:lineRule="auto"/>
        <w:jc w:val="both"/>
        <w:rPr>
          <w:rFonts w:ascii="Bookman Old Style" w:eastAsia="Times New Roman" w:hAnsi="Bookman Old Style" w:cs="Times New Roman"/>
          <w:color w:val="0F3E5C"/>
          <w:sz w:val="24"/>
          <w:szCs w:val="24"/>
        </w:rPr>
      </w:pPr>
      <w:r w:rsidRPr="000E3014">
        <w:rPr>
          <w:rFonts w:ascii="Bookman Old Style" w:eastAsia="Times New Roman" w:hAnsi="Bookman Old Style" w:cs="Times New Roman"/>
          <w:color w:val="0F3E5C"/>
          <w:sz w:val="24"/>
          <w:szCs w:val="24"/>
        </w:rPr>
        <w:t xml:space="preserve">This toolkit is designed to help community media managers lead and oversee audience research in practical, affordable, and meaningful ways. It simplifies research concepts and focuses on actions that can be implemented using existing staff and community resources. Each section contains short explanations, checklists, and templates to guide decision-making and ensure evidence-based programming. </w:t>
      </w:r>
    </w:p>
    <w:p w:rsidR="000E3014" w:rsidRDefault="000E3014" w:rsidP="000E3014">
      <w:pPr>
        <w:shd w:val="clear" w:color="auto" w:fill="FFFFFF"/>
        <w:spacing w:after="0" w:line="240" w:lineRule="auto"/>
        <w:jc w:val="both"/>
        <w:rPr>
          <w:rFonts w:ascii="Bookman Old Style" w:eastAsia="Times New Roman" w:hAnsi="Bookman Old Style" w:cs="Times New Roman"/>
          <w:color w:val="0F3E5C"/>
          <w:sz w:val="24"/>
          <w:szCs w:val="24"/>
        </w:rPr>
      </w:pPr>
      <w:r w:rsidRPr="000E3014">
        <w:rPr>
          <w:rFonts w:ascii="Bookman Old Style" w:eastAsia="Times New Roman" w:hAnsi="Bookman Old Style" w:cs="Times New Roman"/>
          <w:color w:val="0F3E5C"/>
          <w:sz w:val="24"/>
          <w:szCs w:val="24"/>
        </w:rPr>
        <w:t xml:space="preserve">The toolkit is written for managers, directors, and program coordinators in community radio and television stations. It can also serve as a reference for producers, presenters, and volunteers who support audience engagement efforts. </w:t>
      </w:r>
    </w:p>
    <w:p w:rsidR="000E3014" w:rsidRPr="000E3014" w:rsidRDefault="000E3014" w:rsidP="000E3014">
      <w:pPr>
        <w:shd w:val="clear" w:color="auto" w:fill="FFFFFF"/>
        <w:spacing w:after="0" w:line="240" w:lineRule="auto"/>
        <w:jc w:val="both"/>
        <w:rPr>
          <w:rFonts w:ascii="Bookman Old Style" w:eastAsia="Times New Roman" w:hAnsi="Bookman Old Style" w:cs="Times New Roman"/>
          <w:color w:val="0F3E5C"/>
          <w:sz w:val="24"/>
          <w:szCs w:val="24"/>
        </w:rPr>
      </w:pPr>
      <w:r w:rsidRPr="000E3014">
        <w:rPr>
          <w:rFonts w:ascii="Bookman Old Style" w:eastAsia="Times New Roman" w:hAnsi="Bookman Old Style" w:cs="Times New Roman"/>
          <w:color w:val="0F3E5C"/>
          <w:sz w:val="24"/>
          <w:szCs w:val="24"/>
        </w:rPr>
        <w:t>To use the toolkit effectively, managers are encouraged to read one section at a time, apply the practical tools, and reflect with their teams after each research activity. The document is not meant for academic study but for real-world use in the station’s daily operations." (Introduction, page 9)</w:t>
      </w:r>
    </w:p>
    <w:p w:rsidR="000E3014" w:rsidRDefault="000E3014" w:rsidP="000E3014">
      <w:pPr>
        <w:shd w:val="clear" w:color="auto" w:fill="FFFFFF"/>
        <w:spacing w:after="0" w:line="240" w:lineRule="auto"/>
        <w:jc w:val="both"/>
        <w:rPr>
          <w:rFonts w:ascii="Bookman Old Style" w:eastAsia="Times New Roman" w:hAnsi="Bookman Old Style" w:cs="Times New Roman"/>
          <w:color w:val="0F3E5C"/>
          <w:sz w:val="24"/>
          <w:szCs w:val="24"/>
        </w:rPr>
      </w:pPr>
      <w:r w:rsidRPr="000E3014">
        <w:rPr>
          <w:rFonts w:ascii="Bookman Old Style" w:eastAsia="Times New Roman" w:hAnsi="Bookman Old Style" w:cs="Times New Roman"/>
          <w:color w:val="0F3E5C"/>
          <w:sz w:val="24"/>
          <w:szCs w:val="24"/>
        </w:rPr>
        <w:t>In a nutshell, the main takeaway of this toolkit is: audience research should be turned into a regular management habit and that regular efforts should be undertaken to keep each station close to its audience. As the authors rightly indicated: research can be practical, low-cost, and transformative. I end my words by thanking each of the participating stations and those here portrayed – EK FM 88.3 (</w:t>
      </w:r>
      <w:proofErr w:type="spellStart"/>
      <w:r w:rsidRPr="000E3014">
        <w:rPr>
          <w:rFonts w:ascii="Bookman Old Style" w:eastAsia="Times New Roman" w:hAnsi="Bookman Old Style" w:cs="Times New Roman"/>
          <w:color w:val="0F3E5C"/>
          <w:sz w:val="24"/>
          <w:szCs w:val="24"/>
        </w:rPr>
        <w:t>Mbita</w:t>
      </w:r>
      <w:proofErr w:type="spellEnd"/>
      <w:r w:rsidRPr="000E3014">
        <w:rPr>
          <w:rFonts w:ascii="Bookman Old Style" w:eastAsia="Times New Roman" w:hAnsi="Bookman Old Style" w:cs="Times New Roman"/>
          <w:color w:val="0F3E5C"/>
          <w:sz w:val="24"/>
          <w:szCs w:val="24"/>
        </w:rPr>
        <w:t xml:space="preserve">, Kenya), Radio </w:t>
      </w:r>
      <w:proofErr w:type="spellStart"/>
      <w:r w:rsidRPr="000E3014">
        <w:rPr>
          <w:rFonts w:ascii="Bookman Old Style" w:eastAsia="Times New Roman" w:hAnsi="Bookman Old Style" w:cs="Times New Roman"/>
          <w:color w:val="0F3E5C"/>
          <w:sz w:val="24"/>
          <w:szCs w:val="24"/>
        </w:rPr>
        <w:t>Mchungaji</w:t>
      </w:r>
      <w:proofErr w:type="spellEnd"/>
      <w:r w:rsidRPr="000E3014">
        <w:rPr>
          <w:rFonts w:ascii="Bookman Old Style" w:eastAsia="Times New Roman" w:hAnsi="Bookman Old Style" w:cs="Times New Roman"/>
          <w:color w:val="0F3E5C"/>
          <w:sz w:val="24"/>
          <w:szCs w:val="24"/>
        </w:rPr>
        <w:t xml:space="preserve"> (Samburu, Kenya), Radio </w:t>
      </w:r>
      <w:proofErr w:type="spellStart"/>
      <w:r w:rsidRPr="000E3014">
        <w:rPr>
          <w:rFonts w:ascii="Bookman Old Style" w:eastAsia="Times New Roman" w:hAnsi="Bookman Old Style" w:cs="Times New Roman"/>
          <w:color w:val="0F3E5C"/>
          <w:sz w:val="24"/>
          <w:szCs w:val="24"/>
        </w:rPr>
        <w:t>Pacis</w:t>
      </w:r>
      <w:proofErr w:type="spellEnd"/>
      <w:r w:rsidRPr="000E3014">
        <w:rPr>
          <w:rFonts w:ascii="Bookman Old Style" w:eastAsia="Times New Roman" w:hAnsi="Bookman Old Style" w:cs="Times New Roman"/>
          <w:color w:val="0F3E5C"/>
          <w:sz w:val="24"/>
          <w:szCs w:val="24"/>
        </w:rPr>
        <w:t xml:space="preserve"> (West Nile, Uganda), and Radio </w:t>
      </w:r>
      <w:proofErr w:type="spellStart"/>
      <w:r w:rsidRPr="000E3014">
        <w:rPr>
          <w:rFonts w:ascii="Bookman Old Style" w:eastAsia="Times New Roman" w:hAnsi="Bookman Old Style" w:cs="Times New Roman"/>
          <w:color w:val="0F3E5C"/>
          <w:sz w:val="24"/>
          <w:szCs w:val="24"/>
        </w:rPr>
        <w:t>Etoil</w:t>
      </w:r>
      <w:proofErr w:type="spellEnd"/>
      <w:r w:rsidRPr="000E3014">
        <w:rPr>
          <w:rFonts w:ascii="Bookman Old Style" w:eastAsia="Times New Roman" w:hAnsi="Bookman Old Style" w:cs="Times New Roman"/>
          <w:color w:val="0F3E5C"/>
          <w:sz w:val="24"/>
          <w:szCs w:val="24"/>
        </w:rPr>
        <w:t xml:space="preserve"> </w:t>
      </w:r>
      <w:proofErr w:type="gramStart"/>
      <w:r w:rsidRPr="000E3014">
        <w:rPr>
          <w:rFonts w:ascii="Bookman Old Style" w:eastAsia="Times New Roman" w:hAnsi="Bookman Old Style" w:cs="Times New Roman"/>
          <w:color w:val="0F3E5C"/>
          <w:sz w:val="24"/>
          <w:szCs w:val="24"/>
        </w:rPr>
        <w:t>A</w:t>
      </w:r>
      <w:proofErr w:type="gramEnd"/>
      <w:r w:rsidRPr="000E3014">
        <w:rPr>
          <w:rFonts w:ascii="Bookman Old Style" w:eastAsia="Times New Roman" w:hAnsi="Bookman Old Style" w:cs="Times New Roman"/>
          <w:color w:val="0F3E5C"/>
          <w:sz w:val="24"/>
          <w:szCs w:val="24"/>
        </w:rPr>
        <w:t xml:space="preserve"> Karamoja (</w:t>
      </w:r>
      <w:proofErr w:type="spellStart"/>
      <w:r w:rsidRPr="000E3014">
        <w:rPr>
          <w:rFonts w:ascii="Bookman Old Style" w:eastAsia="Times New Roman" w:hAnsi="Bookman Old Style" w:cs="Times New Roman"/>
          <w:color w:val="0F3E5C"/>
          <w:sz w:val="24"/>
          <w:szCs w:val="24"/>
        </w:rPr>
        <w:t>Kotido</w:t>
      </w:r>
      <w:proofErr w:type="spellEnd"/>
      <w:r w:rsidRPr="000E3014">
        <w:rPr>
          <w:rFonts w:ascii="Bookman Old Style" w:eastAsia="Times New Roman" w:hAnsi="Bookman Old Style" w:cs="Times New Roman"/>
          <w:color w:val="0F3E5C"/>
          <w:sz w:val="24"/>
          <w:szCs w:val="24"/>
        </w:rPr>
        <w:t>, Uganda). This practical guide indicates cost-effective solutions used by these four radio stations.</w:t>
      </w:r>
      <w:r>
        <w:rPr>
          <w:rFonts w:ascii="Bookman Old Style" w:eastAsia="Times New Roman" w:hAnsi="Bookman Old Style" w:cs="Times New Roman"/>
          <w:color w:val="0F3E5C"/>
          <w:sz w:val="24"/>
          <w:szCs w:val="24"/>
        </w:rPr>
        <w:t xml:space="preserve"> </w:t>
      </w:r>
      <w:r w:rsidRPr="000E3014">
        <w:rPr>
          <w:rFonts w:ascii="Bookman Old Style" w:eastAsia="Times New Roman" w:hAnsi="Bookman Old Style" w:cs="Times New Roman"/>
          <w:color w:val="0F3E5C"/>
          <w:sz w:val="24"/>
          <w:szCs w:val="24"/>
        </w:rPr>
        <w:t>(Foreword, page 6)</w:t>
      </w:r>
    </w:p>
    <w:p w:rsidR="000E3014" w:rsidRPr="000E3014" w:rsidRDefault="000E3014" w:rsidP="000E3014">
      <w:pPr>
        <w:shd w:val="clear" w:color="auto" w:fill="FFFFFF"/>
        <w:spacing w:after="0" w:line="240" w:lineRule="auto"/>
        <w:jc w:val="both"/>
        <w:rPr>
          <w:rFonts w:ascii="Bookman Old Style" w:eastAsia="Times New Roman" w:hAnsi="Bookman Old Style" w:cs="Times New Roman"/>
          <w:color w:val="0F3E5C"/>
          <w:sz w:val="24"/>
          <w:szCs w:val="24"/>
        </w:rPr>
      </w:pPr>
    </w:p>
    <w:p w:rsidR="000E3014" w:rsidRPr="000E3014" w:rsidRDefault="000E3014" w:rsidP="000E3014">
      <w:pPr>
        <w:shd w:val="clear" w:color="auto" w:fill="FFFFFF"/>
        <w:spacing w:after="0" w:line="240" w:lineRule="auto"/>
        <w:rPr>
          <w:rFonts w:ascii="Bookman Old Style" w:eastAsia="Times New Roman" w:hAnsi="Bookman Old Style" w:cs="Times New Roman"/>
          <w:color w:val="0F3E5C"/>
          <w:sz w:val="24"/>
          <w:szCs w:val="24"/>
        </w:rPr>
      </w:pPr>
      <w:r w:rsidRPr="000E3014">
        <w:rPr>
          <w:rFonts w:ascii="Bookman Old Style" w:eastAsia="Times New Roman" w:hAnsi="Bookman Old Style" w:cs="Times New Roman"/>
          <w:color w:val="0F3E5C"/>
          <w:sz w:val="24"/>
          <w:szCs w:val="24"/>
        </w:rPr>
        <w:t>1 Introduction to Audience Research for Community Radio, 16</w:t>
      </w:r>
      <w:r w:rsidRPr="000E3014">
        <w:rPr>
          <w:rFonts w:ascii="Bookman Old Style" w:eastAsia="Times New Roman" w:hAnsi="Bookman Old Style" w:cs="Times New Roman"/>
          <w:color w:val="0F3E5C"/>
          <w:sz w:val="24"/>
          <w:szCs w:val="24"/>
        </w:rPr>
        <w:br/>
        <w:t>2 The Audience Research Process, 27</w:t>
      </w:r>
      <w:r w:rsidRPr="000E3014">
        <w:rPr>
          <w:rFonts w:ascii="Bookman Old Style" w:eastAsia="Times New Roman" w:hAnsi="Bookman Old Style" w:cs="Times New Roman"/>
          <w:color w:val="0F3E5C"/>
          <w:sz w:val="24"/>
          <w:szCs w:val="24"/>
        </w:rPr>
        <w:br/>
        <w:t>3 Data Analysis and Interpretation, 41</w:t>
      </w:r>
      <w:r w:rsidRPr="000E3014">
        <w:rPr>
          <w:rFonts w:ascii="Bookman Old Style" w:eastAsia="Times New Roman" w:hAnsi="Bookman Old Style" w:cs="Times New Roman"/>
          <w:color w:val="0F3E5C"/>
          <w:sz w:val="24"/>
          <w:szCs w:val="24"/>
        </w:rPr>
        <w:br/>
        <w:t>4 Presenting Findings and Using Evidence for Decision-making, 54</w:t>
      </w:r>
      <w:r w:rsidRPr="000E3014">
        <w:rPr>
          <w:rFonts w:ascii="Bookman Old Style" w:eastAsia="Times New Roman" w:hAnsi="Bookman Old Style" w:cs="Times New Roman"/>
          <w:color w:val="0F3E5C"/>
          <w:sz w:val="24"/>
          <w:szCs w:val="24"/>
        </w:rPr>
        <w:br/>
        <w:t>5 Institutionalizing Audience Research in Station Management and Learning Systems, 66</w:t>
      </w:r>
      <w:r w:rsidRPr="000E3014">
        <w:rPr>
          <w:rFonts w:ascii="Bookman Old Style" w:eastAsia="Times New Roman" w:hAnsi="Bookman Old Style" w:cs="Times New Roman"/>
          <w:color w:val="0F3E5C"/>
          <w:sz w:val="24"/>
          <w:szCs w:val="24"/>
        </w:rPr>
        <w:br/>
        <w:t>6 Continuous Audience Engagement and Monitoring, 77</w:t>
      </w:r>
      <w:r w:rsidRPr="000E3014">
        <w:rPr>
          <w:rFonts w:ascii="Bookman Old Style" w:eastAsia="Times New Roman" w:hAnsi="Bookman Old Style" w:cs="Times New Roman"/>
          <w:color w:val="0F3E5C"/>
          <w:sz w:val="24"/>
          <w:szCs w:val="24"/>
        </w:rPr>
        <w:br/>
        <w:t xml:space="preserve">7 Appendix Material: Practical Examples </w:t>
      </w:r>
      <w:proofErr w:type="gramStart"/>
      <w:r w:rsidRPr="000E3014">
        <w:rPr>
          <w:rFonts w:ascii="Bookman Old Style" w:eastAsia="Times New Roman" w:hAnsi="Bookman Old Style" w:cs="Times New Roman"/>
          <w:color w:val="0F3E5C"/>
          <w:sz w:val="24"/>
          <w:szCs w:val="24"/>
        </w:rPr>
        <w:t>Of</w:t>
      </w:r>
      <w:proofErr w:type="gramEnd"/>
      <w:r w:rsidRPr="000E3014">
        <w:rPr>
          <w:rFonts w:ascii="Bookman Old Style" w:eastAsia="Times New Roman" w:hAnsi="Bookman Old Style" w:cs="Times New Roman"/>
          <w:color w:val="0F3E5C"/>
          <w:sz w:val="24"/>
          <w:szCs w:val="24"/>
        </w:rPr>
        <w:t xml:space="preserve"> The Audience Research Process, 86</w:t>
      </w:r>
      <w:r w:rsidRPr="000E3014">
        <w:rPr>
          <w:rFonts w:ascii="Bookman Old Style" w:eastAsia="Times New Roman" w:hAnsi="Bookman Old Style" w:cs="Times New Roman"/>
          <w:color w:val="0F3E5C"/>
          <w:sz w:val="24"/>
          <w:szCs w:val="24"/>
        </w:rPr>
        <w:br/>
        <w:t>8 Tools and Methods, 101</w:t>
      </w:r>
      <w:r w:rsidRPr="000E3014">
        <w:rPr>
          <w:rFonts w:ascii="Bookman Old Style" w:eastAsia="Times New Roman" w:hAnsi="Bookman Old Style" w:cs="Times New Roman"/>
          <w:color w:val="0F3E5C"/>
          <w:sz w:val="24"/>
          <w:szCs w:val="24"/>
        </w:rPr>
        <w:br/>
        <w:t>9 Technical Quick Reference, 114</w:t>
      </w:r>
    </w:p>
    <w:p w:rsidR="000E3014" w:rsidRPr="000E3014" w:rsidRDefault="000E3014" w:rsidP="000E3014">
      <w:pPr>
        <w:spacing w:line="240" w:lineRule="auto"/>
        <w:jc w:val="both"/>
        <w:rPr>
          <w:rFonts w:ascii="Bookman Old Style" w:hAnsi="Bookman Old Style"/>
          <w:sz w:val="24"/>
          <w:szCs w:val="24"/>
        </w:rPr>
      </w:pPr>
    </w:p>
    <w:sectPr w:rsidR="000E3014" w:rsidRPr="000E30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3014"/>
    <w:rsid w:val="000E3014"/>
    <w:rsid w:val="008351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3E9918"/>
  <w15:chartTrackingRefBased/>
  <w15:docId w15:val="{3B33ADBE-4E4E-4BE0-B31C-E9D84171B0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0E3014"/>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E3014"/>
    <w:rPr>
      <w:rFonts w:ascii="Times New Roman" w:eastAsia="Times New Roman" w:hAnsi="Times New Roman" w:cs="Times New Roman"/>
      <w:b/>
      <w:bCs/>
      <w:sz w:val="36"/>
      <w:szCs w:val="36"/>
    </w:rPr>
  </w:style>
  <w:style w:type="character" w:customStyle="1" w:styleId="publication-author">
    <w:name w:val="publication-author"/>
    <w:basedOn w:val="DefaultParagraphFont"/>
    <w:rsid w:val="000E3014"/>
  </w:style>
  <w:style w:type="character" w:styleId="Hyperlink">
    <w:name w:val="Hyperlink"/>
    <w:basedOn w:val="DefaultParagraphFont"/>
    <w:uiPriority w:val="99"/>
    <w:semiHidden/>
    <w:unhideWhenUsed/>
    <w:rsid w:val="000E3014"/>
    <w:rPr>
      <w:color w:val="0000FF"/>
      <w:u w:val="single"/>
    </w:rPr>
  </w:style>
  <w:style w:type="paragraph" w:styleId="NormalWeb">
    <w:name w:val="Normal (Web)"/>
    <w:basedOn w:val="Normal"/>
    <w:uiPriority w:val="99"/>
    <w:semiHidden/>
    <w:unhideWhenUsed/>
    <w:rsid w:val="000E301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keyword">
    <w:name w:val="keyword"/>
    <w:basedOn w:val="DefaultParagraphFont"/>
    <w:rsid w:val="000E30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1773906">
      <w:bodyDiv w:val="1"/>
      <w:marLeft w:val="0"/>
      <w:marRight w:val="0"/>
      <w:marTop w:val="0"/>
      <w:marBottom w:val="0"/>
      <w:divBdr>
        <w:top w:val="none" w:sz="0" w:space="0" w:color="auto"/>
        <w:left w:val="none" w:sz="0" w:space="0" w:color="auto"/>
        <w:bottom w:val="none" w:sz="0" w:space="0" w:color="auto"/>
        <w:right w:val="none" w:sz="0" w:space="0" w:color="auto"/>
      </w:divBdr>
      <w:divsChild>
        <w:div w:id="129055926">
          <w:marLeft w:val="0"/>
          <w:marRight w:val="0"/>
          <w:marTop w:val="0"/>
          <w:marBottom w:val="0"/>
          <w:divBdr>
            <w:top w:val="none" w:sz="0" w:space="0" w:color="auto"/>
            <w:left w:val="none" w:sz="0" w:space="0" w:color="auto"/>
            <w:bottom w:val="none" w:sz="0" w:space="0" w:color="auto"/>
            <w:right w:val="none" w:sz="0" w:space="0" w:color="auto"/>
          </w:divBdr>
          <w:divsChild>
            <w:div w:id="1139300184">
              <w:marLeft w:val="0"/>
              <w:marRight w:val="0"/>
              <w:marTop w:val="0"/>
              <w:marBottom w:val="0"/>
              <w:divBdr>
                <w:top w:val="none" w:sz="0" w:space="0" w:color="auto"/>
                <w:left w:val="none" w:sz="0" w:space="0" w:color="auto"/>
                <w:bottom w:val="none" w:sz="0" w:space="0" w:color="auto"/>
                <w:right w:val="none" w:sz="0" w:space="0" w:color="auto"/>
              </w:divBdr>
            </w:div>
            <w:div w:id="1534150251">
              <w:marLeft w:val="0"/>
              <w:marRight w:val="0"/>
              <w:marTop w:val="0"/>
              <w:marBottom w:val="300"/>
              <w:divBdr>
                <w:top w:val="none" w:sz="0" w:space="0" w:color="auto"/>
                <w:left w:val="none" w:sz="0" w:space="0" w:color="auto"/>
                <w:bottom w:val="none" w:sz="0" w:space="0" w:color="auto"/>
                <w:right w:val="none" w:sz="0" w:space="0" w:color="auto"/>
              </w:divBdr>
              <w:divsChild>
                <w:div w:id="2097551343">
                  <w:marLeft w:val="0"/>
                  <w:marRight w:val="0"/>
                  <w:marTop w:val="0"/>
                  <w:marBottom w:val="0"/>
                  <w:divBdr>
                    <w:top w:val="none" w:sz="0" w:space="0" w:color="auto"/>
                    <w:left w:val="none" w:sz="0" w:space="0" w:color="auto"/>
                    <w:bottom w:val="none" w:sz="0" w:space="0" w:color="auto"/>
                    <w:right w:val="none" w:sz="0" w:space="0" w:color="auto"/>
                  </w:divBdr>
                </w:div>
                <w:div w:id="105731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3301773">
          <w:marLeft w:val="0"/>
          <w:marRight w:val="0"/>
          <w:marTop w:val="0"/>
          <w:marBottom w:val="0"/>
          <w:divBdr>
            <w:top w:val="none" w:sz="0" w:space="0" w:color="auto"/>
            <w:left w:val="none" w:sz="0" w:space="0" w:color="auto"/>
            <w:bottom w:val="none" w:sz="0" w:space="0" w:color="auto"/>
            <w:right w:val="none" w:sz="0" w:space="0" w:color="auto"/>
          </w:divBdr>
        </w:div>
        <w:div w:id="315687150">
          <w:marLeft w:val="0"/>
          <w:marRight w:val="0"/>
          <w:marTop w:val="0"/>
          <w:marBottom w:val="0"/>
          <w:divBdr>
            <w:top w:val="none" w:sz="0" w:space="0" w:color="auto"/>
            <w:left w:val="none" w:sz="0" w:space="0" w:color="auto"/>
            <w:bottom w:val="none" w:sz="0" w:space="0" w:color="auto"/>
            <w:right w:val="none" w:sz="0" w:space="0" w:color="auto"/>
          </w:divBdr>
        </w:div>
        <w:div w:id="709917618">
          <w:marLeft w:val="0"/>
          <w:marRight w:val="0"/>
          <w:marTop w:val="0"/>
          <w:marBottom w:val="0"/>
          <w:divBdr>
            <w:top w:val="none" w:sz="0" w:space="0" w:color="auto"/>
            <w:left w:val="none" w:sz="0" w:space="0" w:color="auto"/>
            <w:bottom w:val="none" w:sz="0" w:space="0" w:color="auto"/>
            <w:right w:val="none" w:sz="0" w:space="0" w:color="auto"/>
          </w:divBdr>
        </w:div>
        <w:div w:id="2101220730">
          <w:marLeft w:val="0"/>
          <w:marRight w:val="0"/>
          <w:marTop w:val="0"/>
          <w:marBottom w:val="0"/>
          <w:divBdr>
            <w:top w:val="none" w:sz="0" w:space="0" w:color="auto"/>
            <w:left w:val="none" w:sz="0" w:space="0" w:color="auto"/>
            <w:bottom w:val="none" w:sz="0" w:space="0" w:color="auto"/>
            <w:right w:val="none" w:sz="0" w:space="0" w:color="auto"/>
          </w:divBdr>
          <w:divsChild>
            <w:div w:id="2125075971">
              <w:marLeft w:val="0"/>
              <w:marRight w:val="0"/>
              <w:marTop w:val="0"/>
              <w:marBottom w:val="0"/>
              <w:divBdr>
                <w:top w:val="none" w:sz="0" w:space="0" w:color="auto"/>
                <w:left w:val="none" w:sz="0" w:space="0" w:color="auto"/>
                <w:bottom w:val="none" w:sz="0" w:space="0" w:color="auto"/>
                <w:right w:val="none" w:sz="0" w:space="0" w:color="auto"/>
              </w:divBdr>
            </w:div>
          </w:divsChild>
        </w:div>
        <w:div w:id="1603149934">
          <w:marLeft w:val="0"/>
          <w:marRight w:val="0"/>
          <w:marTop w:val="0"/>
          <w:marBottom w:val="0"/>
          <w:divBdr>
            <w:top w:val="none" w:sz="0" w:space="0" w:color="auto"/>
            <w:left w:val="none" w:sz="0" w:space="0" w:color="auto"/>
            <w:bottom w:val="none" w:sz="0" w:space="0" w:color="auto"/>
            <w:right w:val="none" w:sz="0" w:space="0" w:color="auto"/>
          </w:divBdr>
          <w:divsChild>
            <w:div w:id="1297298585">
              <w:marLeft w:val="0"/>
              <w:marRight w:val="0"/>
              <w:marTop w:val="60"/>
              <w:marBottom w:val="0"/>
              <w:divBdr>
                <w:top w:val="none" w:sz="0" w:space="0" w:color="auto"/>
                <w:left w:val="none" w:sz="0" w:space="0" w:color="auto"/>
                <w:bottom w:val="none" w:sz="0" w:space="0" w:color="auto"/>
                <w:right w:val="none" w:sz="0" w:space="0" w:color="auto"/>
              </w:divBdr>
              <w:divsChild>
                <w:div w:id="1975600565">
                  <w:marLeft w:val="0"/>
                  <w:marRight w:val="0"/>
                  <w:marTop w:val="0"/>
                  <w:marBottom w:val="0"/>
                  <w:divBdr>
                    <w:top w:val="none" w:sz="0" w:space="0" w:color="auto"/>
                    <w:left w:val="none" w:sz="0" w:space="0" w:color="auto"/>
                    <w:bottom w:val="none" w:sz="0" w:space="0" w:color="auto"/>
                    <w:right w:val="none" w:sz="0" w:space="0" w:color="auto"/>
                  </w:divBdr>
                </w:div>
                <w:div w:id="1605381986">
                  <w:marLeft w:val="0"/>
                  <w:marRight w:val="0"/>
                  <w:marTop w:val="0"/>
                  <w:marBottom w:val="0"/>
                  <w:divBdr>
                    <w:top w:val="none" w:sz="0" w:space="0" w:color="auto"/>
                    <w:left w:val="none" w:sz="0" w:space="0" w:color="auto"/>
                    <w:bottom w:val="none" w:sz="0" w:space="0" w:color="auto"/>
                    <w:right w:val="none" w:sz="0" w:space="0" w:color="auto"/>
                  </w:divBdr>
                </w:div>
              </w:divsChild>
            </w:div>
            <w:div w:id="550190350">
              <w:marLeft w:val="0"/>
              <w:marRight w:val="0"/>
              <w:marTop w:val="60"/>
              <w:marBottom w:val="0"/>
              <w:divBdr>
                <w:top w:val="none" w:sz="0" w:space="0" w:color="auto"/>
                <w:left w:val="none" w:sz="0" w:space="0" w:color="auto"/>
                <w:bottom w:val="none" w:sz="0" w:space="0" w:color="auto"/>
                <w:right w:val="none" w:sz="0" w:space="0" w:color="auto"/>
              </w:divBdr>
              <w:divsChild>
                <w:div w:id="2045133436">
                  <w:marLeft w:val="0"/>
                  <w:marRight w:val="0"/>
                  <w:marTop w:val="0"/>
                  <w:marBottom w:val="0"/>
                  <w:divBdr>
                    <w:top w:val="none" w:sz="0" w:space="0" w:color="auto"/>
                    <w:left w:val="none" w:sz="0" w:space="0" w:color="auto"/>
                    <w:bottom w:val="none" w:sz="0" w:space="0" w:color="auto"/>
                    <w:right w:val="none" w:sz="0" w:space="0" w:color="auto"/>
                  </w:divBdr>
                </w:div>
                <w:div w:id="101761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327</Words>
  <Characters>1870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Coptic Centre</Company>
  <LinksUpToDate>false</LinksUpToDate>
  <CharactersWithSpaces>2193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2026-07-01T04:39:00Z</dcterms:created>
  <dcterms:modified xsi:type="dcterms:W3CDTF">2026-07-01T04:50:00Z</dcterms:modified>
</cp:coreProperties>
</file>